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02.11.2021, оставленным без изменения постановлением Девятого арбитражного апелляционного суда от 22.02.2022 и постановлением Арбитражного суда Московского округа от 08.06.2022, первоначальный иск удовлетворен, в удовлетворении встречного иска отказано. В кассационной жалобе общество «Торговый Центр Бусиново» просит об отмене судебных актов, ссылаясь на неправомерность требования к поручителю по обязательствам из сальдо и предъявления его после прекращения действия договора поручительства.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соответствии условиями поручительств поручитель обязался отвечать перед кредитором солидарно с должником за неисполнение обязательства должника по договору лизинга в том же объеме, что и должник, потому взыскание с поручителя в пользу лизингодателя суммы сальдо встречных обязательств, определяющего завершающую обязанность должника (лизингополучателя) правомерно. Срок предъявления требования к поручителю признан не пропущенным исходя из установленных обстоятельств расторжения договоров лизинга, условий поручительств и пункта 6 статьи 367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центр Бусиново»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