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Саратовской области от 26.01.2022 требования удовлетворены частично. Двенадцатый арбитражный апелляционный суд постановлением от 15.04.2022 отменил определение от 26.01.2022 в части отказа во включении требования в размере 1 671 927 рублей 12 копеек реестр и включил его в реестр. Арбитражный суд Поволжского округа постановлением от 20.06.2022 постановление Двенадцатого арбитражного апелляционного суда от 15.04.2022 оставил без изменения. В кассационной жалобе финансовый управляющий Гриценко В.Е. просит об отмене постановлений апелляционного и окружного судов, ссылаясь на неприменение исковой давности.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Судами установлены обстоятельства, приостанавливающие течение срока исковой давности (статья 204 Гражданского кодекса Российской Федерации). Иные оценка обстоятельств спора и толкование норм права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Гриценко В.Е.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