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17.11.2021, оставленным без изменения постановлением Девятого арбитражного апелляционного суда от 02.02.2022 и постановлением Арбитражного суда Московского округа от 17.05.2022, в удовлетворении заявления отказано. В кассационной жалобе общество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Заявление рассмотрено в порядке и в соответствии с компетенцией суда, предусмотренных статьями 90, 93 Арбитражного процессуального кодекса Российской Федерации, и оснований для пересмотра ее проявления в отношении данного заявления в кассационном порядке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«Иллюминат»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