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Довганя И.Б. в Арбитражный суд города Санкт-Петербурга и Ленинградской области обратилось ООО «Правоинвест» с заявлением о признании недействительной сделки по отчуждению должником в пользу Викторовой Т.В. жилого дома и земельного участка и применении последствий недействительности сделки. Определением Арбитражного суда города Санкт-Петербурга и Ленинградской области от 29.11.2021 в удовлетворении заявления отказано.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РФ. Постановлением Тринадцатого арбитражного апелляционного суда от 28.04.2022 определение суда первой инстанции отменено; заявление удовлетворено; сделка признана недействительной и с Викторовой Т.В. в конкурсную массу должника взыскано 1 300 000 рублей. 2 Арбитражный суд Северо-Западного округа постановлением от 14.07.2022 постановление суда апелляционной инстанции оставил без изменения. ООО «Правоинвест»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в части применения последствий недействительности сделки,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оспариваемый договор недействительным как по специальным основаниям, предусмотренными положениями статьи 61.2 Федерального закона от 26.10.2002 № 127-ФЗ «О несостоятельности (банкротстве)», так и по общим основаниям Гражданского кодекса Российской Федерации (статьи 10 и 168), суды апелляционной и кассационной инстанций пришли к выводу о злоупотреблении правом обеими сторонами сделки, которые знали о том, что в пользу ответчика безвозмездно отчуждено ликвидное имущество должника, что повлекло уменьшение конкурсной массы должника, вследствие чего его кредиторы утрачивают возможность удовлетворения своих требований в соответствующей части; оплата по договору произведена не будет в силу отсутствия у покупателя финансовой возможности оплатить цену сделки, фактически действия должника и покупателя были направлены на вывод актива должника, с целью необращения на него взыскания и недопущения удовлетворения за счет спорного имущества требований кредиторов. Применяя последствия недействительности сделки, суды руководствовались положениями статьи 61.6 Закона о банкротстве и статьи 167 ГК РФ, учли соответствие договорной цены объектов недвижимости рыночным условиям, последующее отчуждение ответчиком спорного имущества и невозможность его возврата в конкурсную массу в натуре, в связи с чем взыскали с ответчика в конкурсную массу должника его рыночную стоимость.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