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08.11.2021, оставленным без изменения постановлением Семнадцатого арбитражного апелляционного суда от 09.08.2022, в удовлетворении заявления отказано. Постановлением Арбитражного суда Уральского округа от 23.05.2022, решение и постановление апелляционного суда отменены, спор направлен на новое рассмотрение в суд первой инстанции. В кассационных жалобах заявители просят отменить постановление суда кассационной инстанции как принятое с превышением пределов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 не усматривается. Суд кассационной инстанции, признав необходимость нового рассмотрения дела для установления не исследованных судами нижестоящих инстанций обстоятельств, имеющих значение для правильного разрешения спора,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«КБГМ» и Музыке Светлане Михайловне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