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13.09.2021, оставленным без изменения постановлением Третьего арбитражного апелляционного суда от 02.03.2022 и постановлением Арбитражного суда Восточно-Сибирского округа от 20.05.2022, в удовлетворении заявления отказано. В кассационной жалобе Кузмичева Г.Б. просит об отмене судебных актов, ссылаясь на неправильную оценку действий арбитражного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вменяемых кредитором арбитражному управляющему нарушений, которые могли бы повлечь требуемую ответственность, поэтому в силу статей 20.3, 20.4, 60, 213.9 Федерального закона от 26.10.2002 № 127-ФЗ «О несостоятельности (банкротстве)», статьи 15 Гражданского кодекса Российской Федерации и их судебного толкования отклонили требование. Иная оценка действий финансового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Кузмичевой Г.Б.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