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«ТК «Атлант»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ООО «ЕАКС-Логистика» 399 000 рублей неустойки. Решением Арбитражного суда города Москвы от 21.02.2022 иск удовлетворен в части взыскания 319 000 рублей неустойки, в удовлетворении иска в остальной части отказано. Определением Девятого арбитражного апелляционного суда от 18.04.2022 апелляционная жалоба ответчика возвращена. Арбитражный суд Московского округа постановлением от 29.06.2022 решение суда первой инстанции оставил без изменения. ООО «ЕАКС-Логистика» обратилось в Судебную коллегию Верховного Суда Российской Федерации с кассационной жалобой на решение суда первой инстанции и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допущенного ответчиком сверхнормативного простоя вагонов, руководствуясь положениями статей 309, 310, 329, 330, 431 Гражданского кодекса Российской Федерации, суды пришли к выводу о правомерности требования о взыскании неустойки, снизив ее размер на основании статьи 333 Гражданского кодекса Российской Федерации, отклонив довод ответчика о пропуске истцом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