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01.02.2022, оставленным без изменения постановлением Семнадцатого арбитражного апелляционного суда от 12.04.2022 и постановлением Арбитражного суда Уральского округа от 23.06.2022, заявление удовлетворено. В кассационной жалобе Лысакова П.И. просит об отмене судебных актов, ссылаясь на неправильную оценку обстоятельств заключения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Отчуждение должником спорной недвижимости в пользу заинтересованного лица без равноценного встречного предоставления при наличии неисполненных долговых обязательств суды признали создающим в силу пункта 2 статьи 61.2 Федерального закона «О несостоятельности (банкротстве)» условия для недействительности сделки. Иная оценка обстоятельств заключения сделки не попадает под основания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Лысаковой П.И.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