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Огаркова К.В. Арбитражным судом Томской области рассмотрены объединенные в одно производство заявления Лапшина А.Ю. о включении в реестр требований кредиторов должника требования в размере 7 494 110 рублей 54 копеек задолженности по договору займа и финансового управляющего имуществом должника Зуева С.Б. о признании договора займа недействительным. Определением Арбитражного суда Томской области от 29.11.2021 в удовлетворении заявления финансового управляющего отказано; требование кредитора включено в третью очередь реестра требований кредиторов должника. Постановлением Седьмого арбитражного апелляционного суда от 07.02.2022 определение суда первой инстанции оставлено без изменения. Арбитражный суд Западно-Сибирского округа постановлением от 17.05.2022 указанные судебные акты оставил без изменения. Ковальчук Л.М. обратилась в Судебную коллегию Верховного Суда Российской Федерации с кассационной жалобой на принятые по 2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807, 808 Гражданского кодекса Российской Федерации, статьями 61.2,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суды пришли к выводам о реальности заемных отношений между должником и кредитором и отсутствии надлежащих доказательств мнимости сделки и направленности действий сторон сделки на создание искусственной кредиторской задолженности.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