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09.04.2021, оставленным без изменения постановлениями Второго арбитражного апелляционного суда от 18.10.2021 и Арбитражного суда Волго-Вятского округа от 28.03.2022, исковые требования удовлетворены. В кассационной жалобе предприниматель ставит вопрос об отмене принятых по делу судебных актов в части взыскания налога на имущество физических лиц и соответствующих сумм пеней, ссылаясь на существенное 2 нарушение норм права, несоответствие выводов судов фактическим обстоятельствам дела.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связи с неисполнением налогоплательщиком обязанности по уплате налога инспекцией в адрес предпринимателя направлено требование. Неисполнение предпринимателем требования об уплате налога послужило основанием для обращения налогового органа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45, 85, 34611, 34626, 400, 407, 408 Налогового кодекса Российской Федерации, суды пришли к выводу о наличии у предпринимателя обязанности по уплате налога на имущество физических лиц и соответствующих сумм пеней. Судебные инстанции исходили из того, что спорные объекты недвижимости не используются налогоплательщиком в его предпринимательской деятельности. При исследовании обстоятельств дела установлено, что предприниматель в 2018 году применял упрощенную систему налогообложения, а также являлся плательщиком единого налога на вмененный доход; в собственности у налогоплательщика в спорном периоде находились объекты недвижимости; налоговая декларация по налогу, уплачиваемому в связи с применением упрощенной системы налогообложения, за 2018 год представлена предпринимателем с «нулевыми» показателями; в налоговой декларации по единому налогу на вмененный доход за третий квартал 2018 года в качестве адреса места осуществления предпринимательской деятельности указан иной адрес, отличный от адресов объектов недвижимости, которые находились в собственности налогоплательщика; заявление о предоставлении льготы по налогу на имущество физических лиц за 2018 год предпринимателем, как физическим лицом, в инспекцию не представлено. Доводы кассационной жалобы не свидетельствуют о наличии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оспариваемых судебных актов, поскольку не позволяют сделать вывод о том, что при рассмотрении дела допущены нарушения норм материального права 3 и (или) норм процессуального права, приведшие к судебной ошибке существенного и непреодолимого характера. Вопреки доводам жалобы судебные акты основаны на правильном применении норм материального и процессуального права, изложенные в них выводы сформулированы по результатам полного и всестороннего исследования юридически значимых обстоятельств дела и надлежащей оценки представленных доказательств. На основании изложенного,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Судакову Игорю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