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11.11.2021, оставленным без изменения постановлением Седьмого арбитражного апелляционного суда от 24.01.2022 и постановлением Арбитражного суда Западно-Сибирского округа от 17.05.2022, взыскано 16 000 рублей убытков. В кассационной жалобе общество «Маник» просит об отмене судебных актов, ссылаясь на ответственность продавца за все заявленные убытки.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в силу 15, 393 Гражданского кодекса Российской Федерации статей взысканы убытки, состоящие в причинно-следственной связи с исполнением ответчиком договора купли-продажи.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