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Губина Т.С., будучи не участвующим в споре лицом, подает кассационную жалобу на судебные акты, полагая их затрагивающими ее интересы как супруги Губина М.Л. Согласно части 1 статьи 291.1 Арбитражного процессуального кодекса Российской Федерации правом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принят судебный акт. Заявитель не относится к кругу поименованных в указанных нормах лиц.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2 Учитывая отсутствие у заявителя права на обжалование, ходатайство о приостановлении исполнения судебных актов, содержащееся в жалобе, является беспредметным и рассмотрению не подлежит.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Губиной Татьяне Степановне кассационную жалобу на определение Арбитражного суда Московской области от 01.12.2021, постановление Десятого арбитражного апелляционного суда от 11.04.2022 и постановление Арбитражного суда Московского округа от 14.07.2022 по делу № А41-40953/2019. Возвратить Ступину Валерию Эдуардовичу из федерального бюджета 300 (триста) рублей государственной пошлины, уплаченной в соответствии с распоряжением о переводе денежных средств АО «Почта Банк» от 13.09.2022 (номер операции 469112648).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