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сентября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подало кассационную жалобу на судебные акты по делу № А41-40953/2019, одновременно заявив ходатайство о приостановлении исполнения обжалуемого определения в связи с затруднительностью возможного поворота его исполнения. Учитывая неустановление судом требуемых частью 3 статьи 291.6 Арбитражного процессуального кодекса Российской Федерации для приостановления исполнения судебного акта условий, суд отказывает в приостановлении. Руководствуясь статьями 184, 291.6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«М-Лизинг» в приостановлении исполнения определения Арбитражного суда Московской области от 01.12.2021 по делу № А41-40953/2019.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