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«Принтеко» обратилось в суд с жалобой на действия (бездействие) конкурсного управляющего должником Ефимкина Владимира Викторовича и с заявлением о его отстранении. Впоследствии общество «Принтеко» заявило отказ от заявленных требований. Определением Арбитражного суда города Москвы от 09.12.2021, оставленным без изменения постановлениями Девятого арбитражного апелляционного суда от 16.03.2022 и Арбитражного суда Московского округа от 13.07.2022, производство по жалобе общества «Принтеко» прекращено в связи с принятием отказа от заявленных требований. В кассационной жалобе, поданной в Верховный Суд Российской Федерации, заявитель просит отменить названные судебные акты и направить жалобу в арбитражный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руководствуясь статьей 183 Гражданского кодекса Российской Федерации, статьями 49, 150 Арбитражного процессуального кодекса Российской Федерации, исходили из конкретных фактических обстоятельств дела, обусловленных превышением представителем общества «Принтеко» полномочий в связи с подачей жалобы на действия (бездействие) конкурсного управляющего должником вопреки позиции этого общества в лице его органов управления. При таких условиях суды пришли к верному выводу о том, что общество «Принтеко» вправе отказаться от требований, предъявленных неуполномоченным лицом от его имени.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Опарину Евгению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