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Евдокимова И.М. финансовый управляющий его имуществом обратился в Арбитражный суд города Москвы с заявлением о признании недействительным договора залога акций от 10.07.2019, заключенного между должником и ПАО «Транскапиталбанк», и применении последствий недействительности сделки. Определением Арбитражного суда города Москвы от 17.12.2021 заявление удовлетворено, признан недействительным договор и применены последствия недействительности сделки в виде восстановления положения сторон, существовавшего до заключения оспариваемой сделки. Постановлением Девятого арбитражного апелляционного суда от 13.04.2022 определение суда первой инстанции оставлено без изменения. Арбитражный суд Московского округа постановлением от 16.06.2022 указанные судебные акты оставил без изменения. ПАО «Транскапиталбанк»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к ней приложенным, не установлено. Разрешая спор, суды руководствовались положениями пунктов 1 и 2 статьи 61.3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договор залога акций совершен в период подозрительности, в условиях неплатежеспособности должника, в отношении лица, которое знало или должно было знать о финансовых затруднениях должника, и является сделкой, влекущей преимущественное удовлетворение требований одного кредитора перед требованиями других кредиторов должника, отклонив доводы о пропуске финансовым управляющим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