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23.12.2021, оставленным без изменения постановлениями Девятого арбитражного апелляционного суда от 04.04.2022 и Арбитражного суда Московского округа от 15.06.2022, исковые требования удовлетворены. В кассационной жалобе общество ставит вопрос об отмене принятых по делу судебных актов и направлении дела на новое рассмотрение в суд первой инстанции, ссылаясь на существенное нарушение судами норм процессуального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Как усматривается из судебных актов, компанией (поставщик) и обществом (покупатель) заключен договор поставки. Неисполнение покупателем обязательства по оплате поставленного товара послужило основанием для обращения компании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309, 310, 330, 486, 506, 516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Судебные инстанции исходили из неисполнения покупателем обязательства по оплате поставленного товара. Суд округа поддержал выводы судов первой и апелляционной инстанций, не установив нарушения норм процессуального права, являющихся в силу части 4 статьи 288 Арбитражного процессуального кодекса Российской Федерации безусловным основанием для отмены принятых судебных актов. Возражения общества со ссылкой на нарушение судом первой инстанции положений части 4 статьи 137 Арбитражного процессуального кодекса Российской Федерации, что привело к нарушению прав ответчика, являлись предметом рассмотрения судов и получили надлежащую правовую оценку. Таким образом, 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