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«Жилсервис» (далее – Общество) обратилось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«Кригор» (далее – Компания) о взыскании 366 148 рублей 64 копеек задолженности по оплате за содержание жилья и коммунальные услуги и 94 071 рубля 48 копеек пени с их последующим начислением с 11.11.2021 по день фактического исполнения обязательства. Решением Арбитражного суда Саратовской области от 22.11.2021 оставленным без изменения постановлением Двенадцатого арбитражного апелляционного суда от 04.02.2022 и постановлением Арбитражного суда Поволжского округа от 23.05.2022,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приняли во внимание, что Общество не обладает лицензией на осуществление 2 деятельности по управлению многоквартирными домами (далее – МКД), что является препятствием для заключения и исполнения договора; суд не выяснил, кто является исполнителем, на которого возложена обязанность по содержанию общего имущества в МКД.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Компании на праве собственности принадлежат жилые помещения № 159, 162, 163, 166, 170, 171, 194, 195, 198, 199, 200, 201, 206, 217, 221, 225, 230, 234, 237 в МКД № 13 по улице Гагарина, рабочего поселка Приволжский Энгельсского района Саратовской области. Для управления МКД собственниками дома создано товарищество собственников недвижимости «Волга» (далее – Товарищество). На общем собрании собственников помещений МКД, проведенном в форме очно-заочного голосования и оформленного протоколом от 21.10.2018 № 1, принято решение о заключении договора на техническое обслуживание и ремонт общего имущества МКД с обслуживающей организацией Обществом. Во исполнение принятого решения 22.10.2018 между Товариществом и Обществом заключен договор на техническое обслуживание и ремонт общего имущества МКД, в соответствии с условиями которого обслуживающая организация осуществляет техническое содержание МКД; оказывает работы и услуги по содержанию общего имущества в МКД; предоставляет собственникам платежные поручения для оплаты жилищных услуг; обеспечивает предоставление коммунальных услуг собственникам; организует круглосуточное аварийно- диспетчерское обслуживание МКД и т.д. (пункты 3.1.1-3.1.17). Ответчик за период с декабря 2018 года по март 2020 года не оплачивал услуги по содержанию и ремонту общего имущества МКД. В связи с наличием задолженности по оплате услуг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309, 310, 329, 330 779, 781 Гражданского кодекса Российской Федерации, статьями 36, 153, 155, 156, 158,161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3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удовлетворили требования, исходя из того, что ответчик, как собственник помещения, обязан нести бремя содержания имущества путем оплаты предоставляемых услуг по установленным тарифам.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«Кригор»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