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повторяют позицию заявителя о наличии права на применение системы налогообложения в виде единого налога на вмененный доход, являлись предметом рассмотрения судов и обоснованно отклонены с указанием на то, что реализация товаров по образцам вне стационарной торговой сети (осуществляемая с фактической передачей товара вне места демонстрации и выбора товара), независимо от формы расчетов, категорий покупателей и товаров, не относится к деятельности, облагаемой по данной системе налогообложения.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«93 регион»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