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18.02.2022, оставленным без изменения постановлением Девятого арбитражного апелляционного суда от 13.04.2022 и постановлением Арбитражного суда Московского округа от 27.06.2022, в удовлетворении исковых требований отказано. В кассационной жалобе, поданной в Верховный Суд Российской Федерации, компания, ссылаясь на незаконность указанных судебных актов, просит их отменить и принять по делу новый судебный акт об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недоказанным факт оказания компанией услуг обществу в спорный период, руководствуясь статьями 307, 309, 310, 781 Гражданского кодекса Российской Федерации, положениями Федерального закона от 24.06.1998 № 89-ФЗ «Об отходах производства и потребления»,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«Предприятие жилищно-коммунального хозяйства»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