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управления на вышеуказанный судебный акт. До рассмотрения кассационной жалобы от управления поступило ходатайство о ее возвращении без рассмотрения по существу. Из материалов кассационного производства усматривается, что отзыв кассационной жалобы не противоречит закону и не нарушает прав других лиц. С учетом изложенного ходатайство управления о возвращении кассационной жалобы подлежит удовлетворению, а жалоба - возврату без рассмотрения по существу. Руководствуясь статьями 184 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Управления Федеральной антимонопольной службы по Амурской области о возвращении кассационной жалобы без рассмотрения по существу. 2 Кассационную жалобу на постановление Арбитражного суда Дальневосточного округа от 25.05.2022 по делу № А04-8406/2021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