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взыскании с бывшего конкурсного управляющего должником Стешевой Юлии Леонидовны убытков в размере 68 681 375 рублей 58 копеек. Определением Арбитражного суда Владимирской области от 28.02.2020 отказано в удовлетворении заявления. Постановлением Первого арбитражного апелляционного суда от 18.05.2021 отменено определение суда первой инстанции от 28.02.2020, заявление удовлетворено. Постановлением Арбитражный суд Волго-Вятского округа от 22.09.2021 отменено постановление апелляционного суда от 18.05.2021, обособленный спор направлен на новое рассмотрение в Первый арбитражный апелляционный суд. При новом рассмотрении постановлением Первого арбитражного апелляционного суда от 24.02.2022 отменено определение суда первой инстанции от 28.02.2020, со Стешевой Ю.Л. в конкурсную массу должника взыскано 67 255 000 рублей убытков. Постановлением Арбитражного суда Волго-Вятского округа от 20.05.2022 отменено постановление апелляционного суда от 24.01.2022, отказано в удовлетворении заявления. 2 В кассационных жалобах, поданных в Верховный Суд Российской Федерации, заявители выражают своё несогласие с указанным постановлением суда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постановление апелляционного суда и отказывая в удовлетворении требований, суд округа, руководствуясь положениями статьи 15 Гражданского кодекса Российской Федерации, статей 20.3 и 20.4 Федерального закона от 26.10.2002№ 127-ФЗ «О несостоятельности (банкротстве)», исходил из того, что вменяемые в вину Стешевой Ю.Л. действия (бездействие) по непередаче документации должника надлежащему лицу не привело к возникновению убытков на стороне кредиторов должника, поскольку меры по взысканию дебиторской задолженности были осуществлены. Выводы суда округа соответствуют нормам права, оснований для переоценки этих выводов не имеется. Существенных нарушений норм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Прокофьеву Алексею Михайловичу и закрытому акционерному обществу «Датател»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