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30.11.2021, оставленным без изменения постановлением Десятого арбитражного апелляционного суда от 27.01.2022 и постановлением Арбитражного суда Московского округа от 23.05.2022, взыскано 7 444 800 рублей штрафа за за сверхнормативный простой вагонов. В кассационной жалобе общество «Фирма «Трансгарант» просит об отмене судебных актов в части отказа во взыскании неустойки, ссылаясь на неправильную квалификацию правоотношений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Квалификация правоотношений сторон, возникающих из договора от 27.05.2008 № 1-У-42-275/08, осуществлена судами в пределах статьи 431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«Трансгарант»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"Фирма "Трансгарант" (подробнее) Ответчики: ООО "Иркутская грузовая компания"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