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08.12.2021, оставленным без изменения постановлением Десятого арбитражного апелляционного суда от 03.02.2022 и постановлением Арбитражного суда Московского округа от 19.05.2022, заявление удовлетворено. В кассационной жалобе Уразов Е.К. просит об отмене судебных актов, ссылаясь на неверную оценку имущества и несоответствие положения действующему законодательству.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Цена имущества установлена на основании оценки, проведенной финансовым управляющим, и ее соответствия действительной стоимости спорного имущества не опровергнуто. Условия продажи соответствуют статьям 110, 111, 139, 213.25, 213.26 Федерального закона от 26.10.2002 № 127-ФЗ «О несостоятельности (банкротстве)» и их судебному толкованию.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Уразову Е.К.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