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трех инстанций с учетом установленных обстоятельств дела не противоречат правовой позиции, изложенной в пункте 6 Обзора практики разрешения арбитражными судами дел, связанных с применением отдельных положений части первой Налогового кодекса Российской Федерации, доведенном до арбитражных судов Информационным письмом Президиума Высшего Арбитражного Суда Российской Федерации от 17.03.2003 № 71, определении Судебной коллегии по экономическим спорам Верховного Суда Российской Федерации от 05.07.2021 № 307-ЭС21-2135. Доводы, изложенные в жалобе, приводились при рассмотрении дела, получили надлежащую правовую оценку судов, их выводы не опровергают и не могут быть признаны основанием для пересмотра оспариваемых судебных актов в кассационном порядке.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предприятие «Форт-С»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"ЧАСТНОЕ ОХРАННОЕ ПРЕДПРИЯТИЕ "ФОРТ-С" (подробнее) Ответчики: Межрайонная инспекция Федеральной налоговой службы №27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