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Дальневосточного округа от 12.04.2022, оставленным без изменения определением того же суда от 31.05.2022, должнику отказано в удовлетворении ходатайства о восстановлении срока подачи кассационной жалобы на решение Арбитражного суда Приморского края от 05.10.2021 и постановление Пятого арбитражного апелляционного суда от 28.12.2021, жалоба возвращена. В кассационной жалобе Московская О.В. просит отменить судебные акты о возвращении жалобы, ссылаясь на неосновательную оценку причины пропуска срока на обжалование. Согласно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2 Пересмотр компетенции суда на оценку причины пропуска срока не попадает под названные основания. Руководствуясь статьями 291.6,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Московской Ольге Владимировне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