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Семенков А.С. обратился в суд с заявлением об урегулировании разногласий, возникших с конкурсным управляющим должником относительно цены реализации имущества должника, об обязании конкурсного управляющего провести оценку рыночной стоимости имущества. Определением Арбитражного суда Тюменской области от 29.11.2021, оставленным без изменения постановлениями Восьмого арбитражного апелляционного суда от 21.02.2022 и Арбитражного суда Западно-Сибирского округа от 23.06.2022, отказано в удовлетворении заявлений Семенкова А.С.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15, 130 и 139 Федерального закона от 26.10.2002№ 127-ФЗ «О несостоятельности (банкротстве)», исходили из недоказанности наличия причин для удовлетворения требований по заявленным основаниям.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Семенкову Александру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