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Курганской области от 11.01.2022, оставленным без изменения постановлением Восемнадцатого арбитражного апелляционного суда от 21.03.2022 и постановлением Арбитражного суда Уральского округа от 09.06.2022, в удовлетворении заявления отказано. В кассационной жалобе ФИО1 просит об отмене судебных актов, ссылаясь на сохранение неопределенности в требуемом к разъяснению вопросе.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Из содержания заявленного к разъяснению определения не следует его соответствие судебному акту, подлежащему разъяснению в порядке статьи 179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"Сбербанк" (подробнее) Иные лица: Курганский городской отдел Управления ЗАГС Курганской области (подробнее) ОАО Банк ВТБ (подробнее) Ф/у Красильник Алсу Наилевна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