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12.04.2022, оставленным без изменения постановлением Арбитражного суда Волго-Вятского округа от 24.06.2022,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