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Второго арбитражного апелляционного суда от 27.04.2022, оставленным без изменения постановлением Арбитражного суда Волго-Вятского округа от 21.06.2022, апелляционная жалоба на определение Арбитражного суда Костромской области от 12.04.2021 возвращена должнику на основании пункта 3 части 1 статьи 264 Арбитражного процессуального кодекса Российской Федерации в связи с пропуском срока подачи и отказом в удовлетворении ходатайства о восстановлении срока. В кассационной жалобе Соколов Н.М. просит об отмене судебных актов в отношении возвращения апелляционной жалобы как незаконных.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установили подачу жалобы за пределами установленного срока, который восстановлению не подлежит независимо от причины пропуска (статья 117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