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Антропов Константин Юрьевич обратился в суд с заявлением о взыскании с Барладяна А.М. в конкурсную массу должника убытков в размере 5 766 000 рублей. Определением Арбитражного суда Ростовской области от 28.01.2022, оставленным без изменения постановлениями Пятнадцатого арбитражного апелляционного суда от 29.03.2022 и Арбитражного суда Северо-Кавказского округа от 17.06.2022,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15, 53, 53.1, 1064 Гражданского кодекса Российской Федерации, статьёй 61.20 Федерального закона от 26.10.2002 № 127-ФЗ «О несостоятельности (банкротстве)», исходили из того, что в период исполнения заявителем полномочий руководителя должника со счёта должника ему выданы наличные денежные средства (факт получения которых он не отрицал в представленном суду первой инстанции отзыве), а оправдательных документов, подтверждающих их расходование на хозяйственные нужды должника, включая доказательств возврата этих денежных средств не представлено, в связи с чем удовлетворили заявление.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Барладяну Андрею Милентьевичу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