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обществом (согласно отчету об отслеживании отправления с почтовым идентификатором) 31.08.2022, то есть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А59-1793/2021 является постановление Арбитражного суда Дальневосточного округа от 10.06.2022, вступившее в законную силу, согласно части 5 статьи 289 АПК РФ, со дня его принятия – 10.06.2022, следовательно, двухмесячный срок на подачу кассационной жалобы истек 10.08.2022.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подача жалобы в суд первой инстанции и ее последующий возврат. Между тем, указанное обстоятельство не является уважительной причиной пропуска срока, установленного статьей 291.2 АПК РФ, поскольку несоблюдение требований к подаче жалобы, предусмотренных частью 1 статьи 293 АПК РФ, является причиной, зависящей исключительно от лица, обратившегося с такой жалобой, и не может продлевать процессуальный срок.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ООО «ДВ Логистик» в удовлетворении ходатайства о восстановлении пропущенного процессуального срока подачи кассационной жалобы на решение Арбитражного суда Сахалинской области от 02.12.2021 по делу № А59-1793/2021, постановление Пятого арбитражного апелляционного суда от 28.02.2022 и постановление Арбитражного суда Дальневосточного округа от 10.06.2022 по тому же делу. Жалобу ООО «ДВ Логистик»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