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и Болотный Н.Н. обратились в суд с заявлениями, впоследствии объединёнными в одно производство для совместного рассмотрения, о признании незаконными действий организатора торгов – индивидуального предпринимателя Кочеткова К.В. по проведению повторных торгов по продаже имущества должника. Определением Арбитражного суда города Москвы от 28.12.2021, оставленным без изменения постановлениями Девятого арбитражного апелляционного суда от 17.03.2022 и Арбитражного суда Московского округа от 09.06.2022, отказано в удовлетворении требований. В кассационных жалобах, поданных в Верховный Суд Российской Федерации, заявители просят отменить названные судебные акты и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статьи 110 Федерального закона от 26.10.2002 № 127-ФЗ «О несостоятельности (банкротстве)», установив, что победитель первоначальных торгов уклонился от заключения договора купли-продажи, пришли к выводу о необоснованности заявлений ввиду недоказанности наличия в действиях организатора торгов вменяемых ему нарушений законодательства о несостоятельности и, как следствие, об отсутствии оснований для удовлетворения требований.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«Первая Юридическая Контора» и Болотному Николаю Николаевичу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