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общества с ограниченной ответственностью «ВЭЙ М» и «НЕО ИНЖИНИРИНГ» обратились в суд с жалобой на действия (бездействие) конкурсного управляющего должником – государственной корпорации «Агентство по страхованию вкладов» (далее – корпорация), выразившиеся во включении в состав первой очереди реестра требований кредиторов в период с февраля 2016 года, а также выразившиеся в приостановлении расчетов с кредиторами третьей очереди за период с 18.07.2018 года по настоящее время, а также об обязании конкурсного управляющего возобновить расчеты с кредиторами третьей очереди. Определением Арбитражного суда города Москвы от 17.09.2021, оставленным без изменения постановлениями Девятого арбитражного апелляционного суда от 15.02.2022 и Арбитражного суда Московского округа от 13.05.2022,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189.82, 189.84, 189.96 Федерального закона от 26.10.2002 № 127-ФЗ «О несостоятельности (банкротстве)», исходили из недоказанности совокупности условий для удовлетворения жалобы на действия (бездействие) конкурсного управляющего, фактов нарушения им прав или законных интересов заявителя приостановлением расчётов с кредиторами третьей очереди в связи с требованиями корпорации по результатам выплаты страхового возмещения, в относящимися к требованиям первой очереди.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«ВЭЙ 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