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03.12.2021, оставленным без изменения постановлением Девятого арбитражного апелляционного суда от 15.02.2022 и постановлением Арбитражного суда Московского округа от 12.05.2022, заявление удовлетворено. В кассационной жалобе ФИО1 просит об отмене судебных актов, ссылаясь на пропуск управляющим срока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 сроке исковой давности получил правовую оценку судов. Отказ в пересмотре судебных актов исключает приостановление их исполнения, о котором ходатайствует заявитель.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Золотой горизонт (подробнее) ПАО "Сбербанк России" (подробнее) Иные лица: Ассоциация арбитражных управляющих "Солидарность" (подробнее) ГУ Центр адресно-справочной работы УВМ МВД России по г.Москве (подробнее) УМВД России по Магаданской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