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«Раменская теплосеть»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«Алекрус» (далее – Компания) о взыскании 3 494 658 рублей 23 копеек задолженности. Решением Арбитражного суда Московской области от 25.10.2021, оставленным без изменения постановлением Девятого арбитражного апелляционного суда от 20.01.2022 и постановлением Арбитражного суда Московского округа от 21.06.2022,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2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Компанией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«Алекрус». Срок подачи кассационной жалобы на решение Арбитражного суда Московской области от 25.10.2021, постановление Девятого арбитражного апелляционного суда от 20.01.2022 и постановление Арбитражного суда Московского округа от 21.06.2022 по делу № А41-8264/2021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