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«Океан» (далее – Общество) обратилось в Арбитражный суд города Москвы с иском к Правительству Москвы (далее – Правительство) о взыскании 3 277 209 рублей 91 копейки пени. Решением Арбитражного суда города Москвы от 01.10.2021, оставленным без изменения постановлением Девятого арбитражного апелляционного суда от 17.12.2021 и постановлением Арбитражного суда Московского округа от 23.03.2022,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на ошибочность вывода об истечении срока исковой давности, неправильное применение судами статей 155, 161 Жилищного кодекса Российской Федерации.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2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города Москвы от 09.12.2019 по делу № А40-80469/2019 с Правительства в пользу Общества взыскано 5 151 487 рублей 57 копеек задолженности, 36 616 рублей расходов по оплате государственной пошлины; в удовлетворении остальной части иска отказано. В рамках рассмотрения указанного спора требования были заявлены за период с 24.12.2014 по 31.12.2015 (задолженность по оплате коммунальных услуг, услуг по содержанию и текущему ремонту общего имущества многоквартирного дома (далее - МКД), расположенном по адресу: г. Москва, ул. 1-я Машиностроения, д. 10)). Судами при рассмотрении дела № А40-80469/2019 установлено, что часть помещений в МКД (173 квартиры) передана городу Москве на основании акта о результатах реализации инвестиционного проекта от 24.12.2014; в течение 2014, 2015 годов управление МКД осуществлялось Обществом как управляющей организацией, избранной по результатам открытых конкурсов. В рамках настоящего дела Обществом взыскивается 3 277 209 рублей 91 копейка пени, начисленных за период с декабря 2014 года по 26.01.2021 на сумму долга 5 151 487 рублей 57 копеек на основании части 14 статьи 155 Жилищного кодекса Российской Федерации. Исследовав и оценив по правилам статьи 71 АПК РФ представленные доказательства, руководствуясь частью 2, частью 14 статьи 155, статьей 161 Жилищного кодекса Российской Федерации, статьями 195, 199, 200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в постановлении Пленума Верховного Суда Российской Федерации от 27.06.2017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суды отказали в удовлетворении требований, указав на несвоевременное выставление платежных документов, влияющих на начисление санкций, и на истечение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3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годичный срок исковой давности, судебные инстанции правомерно исходили из того, что квартиры, по которым у Правительства имелась задолженность, были переданы городу Москве в 2014 году, когда Общество уже осуществляло управление МКД в качестве управляющей организации. Обществом не представлено доказательств направления Правительству и получения им ежемесячно платежных документов.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«Океан»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