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06.12.2021, оставленным без изменения постановлением Девятого арбитражного апелляционного суда от 17.03.2022 и постановлением Арбитражного суда Московского округа от 01.07.2022,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2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установив отсутствие доказательств внесения ответчиком арендных платежей в спорный период, признав подтвержденными факт существенного нарушения ответчиком условий договора аренды, руководствуясь статьями 309, 310, 450, 452, 606, 614, 619, 621, 622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«ОРИОН Компани»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