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07.12.2021, оставленным без изменения постановлением Десятого арбитражного апелляционного суда от 07.02.2022 и постановлением Арбитражного суда Московского округа от 19.05.2022,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исходя из отсутствия доказательств, свидетельствующих о том, что в спорный период общество (арендатор) было лишено возможности осуществлять предпринимательскую деятельность в арендуемом помещении, а компания (арендодатель) каким-либо образом препятствовала доступу в помещение, а также доказательств того, что общество пострадало в условиях ухудшения экономической ситуации, а введенные ограничения привели к значительной потери его выручки, и, как следствие, к ухудшению условий пользования им арендуемым помещением, не установив оснований для предоставления обществу отсрочки по внесению арендной платы и уменьшения ее размера, руководствуясь статьями 606, 614 Гражданского кодекса Российской Федерации, положениями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постановления Правительства Российской Федерации от 03.04.2020 № 439 «Об установлении требований к условиям и срокам отсрочки уплаты арендной платы по договорам аренды недвижимого имущества», постановления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инфекции», разъяснениями, изложенными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2, утвержденном Президиумом Верховного суда Российской Федерации 30.04.2020, суды первой и апелляционной инстанций отказали в удовлетворении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3 291.6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«1 Ювелирная Сеть»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