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16.02.2022, оставленным без изменения постановлением Одиннадцатого арбитражного апелляционного суда от 19.04.2022 и постановлением Арбитражного суда Поволжского округа от 16.06.2022, заявление удовлетворено. В кассационной жалобе банк просит об отмене судебных актов, ссылаясь на отсутствие его безусловного отказа от определения дальнейшей судьбы залогового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право кредитора на определение дальнейшей судьбы заложенного имущества ограниченным невозможностью увеличения затрат на проведение торгов и затягивания процедуры реализации имущества должника (пункт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«Татфондбанк»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