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«ЛэндБрокер» обратилось в суд с заявлением о включении требований в размере 285 610 486 рублей 18 копеек в реестр требований кредиторов должника. Определением Арбитражного суда города Москвы от 20.12.2021, оставленным без изменения постановлениями Девятого арбитражного апелляционного суда от 22.02.2022 и Арбитражного суда Московского округа от 13.05.2022,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удовлетворить заявление о включении требований в реестр.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 и 168 Гражданского кодекса Российской Федерации, статей 19, 71 и 100 Федерального закона от 26.10.2002 № 127-ФЗ «О несостоятельности (банкротстве)», исходили из отсутствия причин для удовлетворения требований по заявленным основаниям, указав на отсутствие надлежащих доказательств, опровергающих обоснованные сомнения в добросовестности и реальности отношений, положенных в основу заявленных требований аффилированного с должником лица.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«Лэнд-Б»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