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17.12.2021, оставленным без изменения постановлением Девятого арбитражного апелляционного суда от 09.03.2022 и постановлением Арбитражного суда Московского округа от 21.06.2022, в удовлетворении заявления отказано. В кассационной жалобе финансовый управляющий просит об отмене судебных актов, ссылаясь на попадание обстоятельств совершения платежей под срок исковой давности для ничтожных сделок.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Соблюдение предшественником нынешнего финансового управляющего срока исковой давности для оспаривания сделок по основаниям, предусмотренным статьями 10, 168 Гражданского кодекса Российской Федерации, не доказано.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Хрусталевой А.В.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