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России (далее – уполномоченный орган) обратилась в суд с заявлением о взыскании убытков с лиц, входящих в состав органов юридического лица: с Шлойдо Антона Иосифовича убытки в общем размере 4 111 500 рублей, с Рычкова О.В. убытки в общем размере 166 776 852 рубля 82 копейки. Впоследствии требования о взыскании убытков с Шлойдо А.И. выделено в отдельное производство. Определением Арбитражного суда Иркутской области от 19.07.2021, оставленным без изменения постановлениями Четвёртого арбитражного апелляционного суда от 29.12.2021 и Арбитражного суда Восточно-Сибирского округа от 12.05.2022, удовлетворены требования уполномоченного органа к Рычкову О.В. о взыскании убытков в размере 166 776 852 рубля 82 копейки.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15 и 53.1 Гражданского кодекса Российской Федерации, статьи 2 Федерального закона от 26.10.2002 №127-ФЗ «О несостоятельности (банкротстве)», исходили из доказанности причинно-следственной связи между противоправными действиями контролирующего должника лица – Рычкова О.В. и убытками на стороне должника и его кредиторов в указанном размере.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Рычкову Олегу Витальевичу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