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по уплате штрафов за несвоевременное предоставление декларации по налогу на добавленную стоимость за период c 1 квартала 2018 года по 3 квартал 2019 года; по уплате недоимки по налогу на добавленную стоимость и налогу на прибыль за период с 4 квартала 2017 года по 3 квартал 2019 года путём определения требований Федеральной налоговой службой (далее – уполномоченный орган) мораторными и подлежащими включению в реестр требований кредиторов должника (далее – реестр). Определением Арбитражного суда Новосибирской области от 01.12.2021 разногласия разрешены путём признания заявленных требований уполномоченного органа подлежащими погашению в составе текущих платежей. Постановлением Седьмого арбитражного апелляционного суда от 21.02.2022 изменено определение суда первой инстанции от 01.12.2021, резолютивная часть определения изложена в новой редакции. Требования уполномоченного органа за период с 4 квартала 2017 по 4 квартал 2018 года признаны текущими обязательствами должника; требования уполномоченного 2 органа за период с 1 по 3 кварталы 2019 года признаны реестровыми обязательствами должника. Арбитражного суда Западно-Сибирского округа от 12.05.2022 судебные акты оставлены без изменения. В кассационной жалобе, поданной в Верховный Суд Российской Федерации, заявитель просит отменить определение суда первой инстанции и изменить постановления судов апелляционной инстанции и округа, определив требования уполномоченного органа за период с 4 квартала 2017 года по 4 квартал 2018 года подлежащими включению в реестр.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 в обжалуемой части, суды, руководствуясь положениями статей 5, 134, 151, 163 и 166 Федерального закона от 26.10.2002 № 127-ФЗ «О несостоятельности (банкротстве)», обоснованно исходи из того, что требования уполномоченного органа, возникшие в период проведения в отношении должника банкнотных процедур, являются текущими.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«Жилищное эксплуатационное объединение» Курочке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