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03.09.2021, оставленным без изменения постановлением Девятого арбитражного апелляционного суда от 16.12.2021 и постановлением Арбитражного суда Московского округа от 15.04.2022, заявление кредитора удовлетворено: определение Арбитражного суда города Москвы от 14.01.2020 пересмотрено по вновь открывшимся обстоятельствам и отменено, возобновлено дело о банкротстве должника. В кассационной жалобе ФИО1 просит о пересмотре судебных актов, ссылаясь на ненадлежащую оценку обстоятельств спора, предоставление полной информации о имеющемся у нее имуществе.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 должника имущества, не выявленного в процедурах банкротства, признано обстоятельством, влекущим возобновление производства по делу о банкротстве должника.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Судостроительный-судоремонтный завод им. Бутякова С.Н. (подробнее) Бекетова Н (подробнее) ИФНС России №26 по г. Москве (подробнее) ООО "Эос" (подробнее) ПАО РОСБАНК (подробнее) ПАО "Сбербанк России" в лице Московского банка Сбербанк (подробнее) Иные лица: Саттарова З (подробнее) Союз АУ "СРО "Северная Столица"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