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20.12.2021, оставленным без изменения постановлением Девятого арбитражного апелляционного суда от 10.03.2022 и постановлением Арбитражного суда Московского округа от 02.06.2022, заявление удовлетворено. В кассационной жалобе ФИО1 просит об отмене судебных актов, ссылаясь на отсутствие спорной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обоснованным как подтвержденное приговором и соответствующее статьям 71 , 100 Федерального закона от 26.10.2002 № 127-ФЗ «О несостоятельности (банкротстве)». Исполнение обязательства не установлено судами.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ГК "Агентство по старахованию вкладов" (подробнее) ГК АСВ (Конкурсный Управляющий КБ "Адмиралтейский" ООО) (подробнее) ООО КБ "Адмиралитейский" (подробнее) ООО "Открытые инвестиции" (подробнее) ООО "Социум-Банк" (подробнее) ПАО "АМБ Банк" (подробнее) ПАО "Сбербанк России" (подробнее) ЮНИФАЙД ИНВЕСТМЕНТ ЛИМИТЕД (подробнее) ЮНИФАЙД ИНВЕСТМЕНТС ЛИМИТЕД (подробнее) Ответчики: Балкаев Максим Г (подробнее) Иные лица: а/у Саакян А.Г. (подробнее) Идрисова А (подробнее) Стасенков Игорь (подробнее) ФУ Байтимирова Аэлита Альбертовна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