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19.10.2021, оставленным без изменения постановлением Девятнадцатого арбитражного апелляционного суда от 31.01.2022 и постановлением Арбитражного суда Центрального округа от 24.05.2022, иск удовлетворен. В кассационной жалобе предприниматель просит об отмене судебных актов, указывая, что не является ответственным за вред лицом.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установлено. Ответственным за вред вследствие перевозки тяжеловесного груза лицом нормативно определен владелец транспортного средства, каковым является предприниматель.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Сасину Олегу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