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29.11.2021, оставленным без изменения постановлением Девятого арбитражного апелляционного суда от 10.02.2022 и постановлением Арбитражного суда Московского округа от 19.05.2022, иск удовлетворен. В кассационной жалобе предприниматель А.В. просит об отмене судебных актов, ссылаясь на неполное выяснение обстоятельств дела, нарушение процессуальных прав.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Риск выбора поставщика отнесен на ответчика в силу договора и закона. Действия суда, оцениваемые предпринимателем как процессуальные нарушения, таковыми не являются и не влияют на судьбу судебных актов в кассационном производстве.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"Росагролизинг"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