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08.12.2021, оставленным без изменения постановлением Девятого арбитражного апелляционного суда от 16.02.2022, иск удовлетворен. Постановлением Арбитражного суда Московского округа от 11.05.2022 решение и постановление апелляционного суда отменены, дело направлено на новое рассмотрение в суд первой инстанции. В кассационной жалобе общество «Трансойл» просит отменить постановление суда кассационной инстанции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Окружной суд установил, что суды первой и апелляционной инстанций не дали оценки всем доводам сторон и представленным доказательствам, не исследовали обстоятельств спора, имеющих существенное значение для дела. Обжалуемое постановление принято окружным судом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