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27.04.2021, оставленным без изменения постановлением Пятнадцатого арбитражного апелляционного суда от 04.04.2022 и постановлением Арбитражного суда Северо-Кавказского округа от 31.05.2022, заявление признано обоснованным, введена процедура реструктуризации долгов гражданина; требования кредитора включены в третью очередь реестра, утвержден финансовый управляющий. В кассационной жалобе Хачатуров С.С. просит об отмене судебных актов, ссылаясь на неправильную оценку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неисполненного должником судебного акта на сумму в 32 460 650 рублей, позволяющее кредитору в силу статей 213.1, 213.3, 213.5, 213.6 Федерального закона от 26.10.2002 № 127-ФЗ «О несостоятельности (банкротстве)» инициировать процедуры банкротства. Приведенные в жалобе доводы рассмотрены и учтены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Хачатурову С.С.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