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25.10.2021, оставленным без изменения постановлением Девятого арбитражного апелляционного суда от 18.01.2022 и постановлением Арбитражного суда Московского округа от 05.05.2022, заявление удовлетворено. В кассационной жалобе Матвеев А.В. просит об отмене судебных актов, ссылаясь на неправильную оценку обстоятельств заключения сделки и нарушение прав супруги, не привлеченной к участию в деле.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пределов осуществления гражданских прав при совершении сделки, влекущее ее недействительность в силу статей 10, 168 Гражданского кодекса Российской Федерации. Права супруги при банкротстве должника защищены в силу закона, вследствие чего признаны не нарушенными.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Матвееву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